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18.0" w:type="dxa"/>
        <w:jc w:val="left"/>
        <w:tblBorders>
          <w:top w:color="7f7f7f" w:space="0" w:sz="8" w:val="single"/>
          <w:left w:color="7f7f7f" w:space="0" w:sz="8" w:val="single"/>
          <w:bottom w:color="7f7f7f" w:space="0" w:sz="8" w:val="single"/>
          <w:right w:color="7f7f7f" w:space="0" w:sz="8" w:val="single"/>
          <w:insideH w:color="7f7f7f" w:space="0" w:sz="8" w:val="single"/>
          <w:insideV w:color="7f7f7f" w:space="0" w:sz="8" w:val="single"/>
        </w:tblBorders>
        <w:tblLayout w:type="fixed"/>
        <w:tblLook w:val="0000"/>
      </w:tblPr>
      <w:tblGrid>
        <w:gridCol w:w="737"/>
        <w:gridCol w:w="3061"/>
        <w:gridCol w:w="397"/>
        <w:gridCol w:w="3043"/>
        <w:gridCol w:w="397"/>
        <w:gridCol w:w="3043"/>
        <w:gridCol w:w="397"/>
        <w:gridCol w:w="3043"/>
        <w:tblGridChange w:id="0">
          <w:tblGrid>
            <w:gridCol w:w="737"/>
            <w:gridCol w:w="3061"/>
            <w:gridCol w:w="397"/>
            <w:gridCol w:w="3043"/>
            <w:gridCol w:w="397"/>
            <w:gridCol w:w="3043"/>
            <w:gridCol w:w="397"/>
            <w:gridCol w:w="3043"/>
          </w:tblGrid>
        </w:tblGridChange>
      </w:tblGrid>
      <w:tr>
        <w:trPr>
          <w:cantSplit w:val="0"/>
          <w:trHeight w:val="1640" w:hRule="atLeast"/>
          <w:tblHeader w:val="0"/>
        </w:trPr>
        <w:tc>
          <w:tcPr>
            <w:shd w:fill="973d85" w:val="clear"/>
            <w:vAlign w:val="center"/>
          </w:tcPr>
          <w:p w:rsidR="00000000" w:rsidDel="00000000" w:rsidP="00000000" w:rsidRDefault="00000000" w:rsidRPr="00000000" w14:paraId="00000002">
            <w:pPr>
              <w:spacing w:after="60" w:lineRule="auto"/>
              <w:ind w:left="142" w:hanging="170"/>
              <w:rPr>
                <w:rFonts w:ascii="Nunito Sans" w:cs="Nunito Sans" w:eastAsia="Nunito Sans" w:hAnsi="Nunito San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Day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8" w:lineRule="auto"/>
              <w:ind w:left="125" w:hanging="142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Introduction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 to course</w:t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8" w:lineRule="auto"/>
              <w:ind w:left="125" w:hanging="142"/>
              <w:rPr>
                <w:rFonts w:ascii="Nunito Sans" w:cs="Nunito Sans" w:eastAsia="Nunito Sans" w:hAnsi="Nunito Sans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Overview of Elements 5 to 11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5" w:hanging="142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Introduction to the Practical Assessment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5" w:hanging="142"/>
              <w:rPr>
                <w:rFonts w:ascii="Nunito Sans" w:cs="Nunito Sans" w:eastAsia="Nunito Sans" w:hAnsi="Nunito Sans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Outline of GNC2 principles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Element 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5: Physical and Psychological Health (5.1)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f3f3f3" w:space="0" w:sz="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before="48" w:lineRule="auto"/>
              <w:jc w:val="center"/>
              <w:rPr>
                <w:rFonts w:ascii="Nunito Sans" w:cs="Nunito Sans" w:eastAsia="Nunito Sans" w:hAnsi="Nunito Sans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B</w:t>
              <w:br w:type="textWrapping"/>
              <w:t xml:space="preserve">R</w:t>
              <w:br w:type="textWrapping"/>
              <w:t xml:space="preserve">E</w:t>
              <w:br w:type="textWrapping"/>
              <w:t xml:space="preserve">A</w:t>
              <w:br w:type="textWrapping"/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48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E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Physical and Psychological Health </w:t>
            </w: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5.2)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48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The Practical Assessment - Overview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B">
            <w:pPr>
              <w:spacing w:before="48" w:lineRule="auto"/>
              <w:jc w:val="center"/>
              <w:rPr>
                <w:rFonts w:ascii="Nunito Sans" w:cs="Nunito Sans" w:eastAsia="Nunito Sans" w:hAnsi="Nunito Sans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B</w:t>
              <w:br w:type="textWrapping"/>
              <w:t xml:space="preserve">R</w:t>
              <w:br w:type="textWrapping"/>
              <w:t xml:space="preserve">E</w:t>
              <w:br w:type="textWrapping"/>
              <w:t xml:space="preserve">A</w:t>
              <w:br w:type="textWrapping"/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8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Risk Assessment - Section 1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8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E5: Physical and Psychological Health (5.3, 5.4)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126" w:hanging="360"/>
              <w:rPr>
                <w:rFonts w:ascii="Nunito Sans" w:cs="Nunito Sans" w:eastAsia="Nunito Sans" w:hAnsi="Nunito Sans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F">
            <w:pPr>
              <w:spacing w:before="48" w:lineRule="auto"/>
              <w:jc w:val="center"/>
              <w:rPr>
                <w:rFonts w:ascii="Nunito Sans" w:cs="Nunito Sans" w:eastAsia="Nunito Sans" w:hAnsi="Nunito Sans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B</w:t>
              <w:br w:type="textWrapping"/>
              <w:t xml:space="preserve">R</w:t>
              <w:br w:type="textWrapping"/>
              <w:t xml:space="preserve">E</w:t>
              <w:br w:type="textWrapping"/>
              <w:t xml:space="preserve">A</w:t>
              <w:br w:type="textWrapping"/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8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E5: Physical and Psychological Health (5.5, 5.6)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Review of day and directed private study setting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0" w:hRule="atLeast"/>
          <w:tblHeader w:val="0"/>
        </w:trPr>
        <w:tc>
          <w:tcPr>
            <w:shd w:fill="973d85" w:val="clear"/>
            <w:vAlign w:val="center"/>
          </w:tcPr>
          <w:p w:rsidR="00000000" w:rsidDel="00000000" w:rsidP="00000000" w:rsidRDefault="00000000" w:rsidRPr="00000000" w14:paraId="00000012">
            <w:pPr>
              <w:spacing w:after="60" w:lineRule="auto"/>
              <w:ind w:left="142" w:hanging="170"/>
              <w:rPr>
                <w:rFonts w:ascii="Nunito Sans" w:cs="Nunito Sans" w:eastAsia="Nunito Sans" w:hAnsi="Nunito San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Day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Review answers from directed private study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Review of Day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Element 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Musculoskeletal Health</w:t>
            </w: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6.1</w:t>
            </w: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f3f3f3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E6: Musculoskeletal Health (6.2)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rFonts w:ascii="Nunito Sans" w:cs="Nunito Sans" w:eastAsia="Nunito Sans" w:hAnsi="Nunito Sans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The Practical Assessment - Risk Assessment (Section 2)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Risk Assessment - Section 2 (first two columns)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rFonts w:ascii="Nunito Sans" w:cs="Nunito Sans" w:eastAsia="Nunito Sans" w:hAnsi="Nunito Sans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E6: Musculoskeletal Health (6.3)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Element 7 - Chemical and Biological Agents (7.1, 7.2)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Review of day and directed private study setting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shd w:fill="973d85" w:val="clear"/>
            <w:vAlign w:val="center"/>
          </w:tcPr>
          <w:p w:rsidR="00000000" w:rsidDel="00000000" w:rsidP="00000000" w:rsidRDefault="00000000" w:rsidRPr="00000000" w14:paraId="0000001F">
            <w:pPr>
              <w:spacing w:after="60" w:lineRule="auto"/>
              <w:ind w:left="142" w:hanging="170"/>
              <w:rPr>
                <w:rFonts w:ascii="Nunito Sans" w:cs="Nunito Sans" w:eastAsia="Nunito Sans" w:hAnsi="Nunito San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Day 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Review answers from directed private study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Review of Day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E7 - Chemical and Biological Agents (7.3, 7.4)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f3f3f3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 Sans" w:cs="Nunito Sans" w:eastAsia="Nunito Sans" w:hAnsi="Nuni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E7 - Chemical and Biological Agents (7.5)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after="48" w:before="20" w:lineRule="auto"/>
              <w:ind w:left="126" w:hanging="141"/>
              <w:rPr>
                <w:rFonts w:ascii="Nunito Sans" w:cs="Nunito Sans" w:eastAsia="Nunito Sans" w:hAnsi="Nunito Sans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The Practical Assessment - Risk Assessment (Section 2 continued)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 Sans" w:cs="Nunito Sans" w:eastAsia="Nunito Sans" w:hAnsi="Nuni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Risk Assessment - Section 2 (final 4 columns)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rFonts w:ascii="Nunito Sans" w:cs="Nunito Sans" w:eastAsia="Nunito Sans" w:hAnsi="Nunito Sans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Element 8: General Workplace Issues (8.1, 8.2)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E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General Workplace Issues (8.3, 8.4)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Review of day and 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directed private study setting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shd w:fill="973d85" w:val="clear"/>
            <w:vAlign w:val="center"/>
          </w:tcPr>
          <w:p w:rsidR="00000000" w:rsidDel="00000000" w:rsidP="00000000" w:rsidRDefault="00000000" w:rsidRPr="00000000" w14:paraId="0000002C">
            <w:pPr>
              <w:spacing w:after="60" w:lineRule="auto"/>
              <w:ind w:left="142" w:hanging="170"/>
              <w:rPr>
                <w:rFonts w:ascii="Nunito Sans" w:cs="Nunito Sans" w:eastAsia="Nunito Sans" w:hAnsi="Nunito San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Day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Review answers from directed private study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Review of Day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8: General Workplace Issues (8.5, 8.6)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f3f3f3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E8: General Workplace Issues (8.7)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rFonts w:ascii="Nunito Sans" w:cs="Nunito Sans" w:eastAsia="Nunito Sans" w:hAnsi="Nunito Sans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Element 9: Work Equipment (9.1)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rFonts w:ascii="Nunito Sans" w:cs="Nunito Sans" w:eastAsia="Nunito Sans" w:hAnsi="Nunito Sans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The Practical Assessment - Section 3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firstLine="0"/>
              <w:rPr>
                <w:rFonts w:ascii="Nunito Sans" w:cs="Nunito Sans" w:eastAsia="Nunito Sans" w:hAnsi="Nuni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 Sans" w:cs="Nunito Sans" w:eastAsia="Nunito Sans" w:hAnsi="Nuni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Risk Assessment - Section 3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spacing w:after="48" w:before="20" w:lineRule="auto"/>
              <w:ind w:left="126" w:hanging="141"/>
              <w:rPr>
                <w:rFonts w:ascii="Nunito Sans" w:cs="Nunito Sans" w:eastAsia="Nunito Sans" w:hAnsi="Nunito Sans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E9: Work Equipment (9.2)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 Sans" w:cs="Nunito Sans" w:eastAsia="Nunito Sans" w:hAnsi="Nunito Sans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bookmarkStart w:colFirst="0" w:colLast="0" w:name="_heading=h.gbcwohvzlkxy" w:id="0"/>
            <w:bookmarkEnd w:id="0"/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E9: Work Equipment (9.3, 9.4)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Review of day and directed private study setting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0" w:hRule="atLeast"/>
          <w:tblHeader w:val="0"/>
        </w:trPr>
        <w:tc>
          <w:tcPr>
            <w:shd w:fill="973d85" w:val="clear"/>
            <w:vAlign w:val="center"/>
          </w:tcPr>
          <w:p w:rsidR="00000000" w:rsidDel="00000000" w:rsidP="00000000" w:rsidRDefault="00000000" w:rsidRPr="00000000" w14:paraId="0000003B">
            <w:pPr>
              <w:spacing w:after="60" w:lineRule="auto"/>
              <w:ind w:left="142" w:hanging="170"/>
              <w:rPr>
                <w:rFonts w:ascii="Nunito Sans" w:cs="Nunito Sans" w:eastAsia="Nunito Sans" w:hAnsi="Nunito San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Day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Review answers from directed private study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Review of Day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Element 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10: Fire (10.1, 10.2)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f3f3f3" w:space="0" w:sz="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10: Fire (10.3, 10.4)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rFonts w:ascii="Nunito Sans" w:cs="Nunito Sans" w:eastAsia="Nunito Sans" w:hAnsi="Nunito Sans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The Practical Assessment - Section 4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Risk Assessment - Section 4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rFonts w:ascii="Nunito Sans" w:cs="Nunito Sans" w:eastAsia="Nunito Sans" w:hAnsi="Nunito Sans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Element 11 - The Hazards and Risks of Electricity (11.1)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-15" w:firstLine="0"/>
              <w:rPr>
                <w:rFonts w:ascii="Nunito Sans" w:cs="Nunito Sans" w:eastAsia="Nunito Sans" w:hAnsi="Nuni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 Sans" w:cs="Nunito Sans" w:eastAsia="Nunito Sans" w:hAnsi="Nuni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E11 - The Hazards and Risks of Electricity (11.2)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rFonts w:ascii="Nunito Sans" w:cs="Nunito Sans" w:eastAsia="Nunito Sans" w:hAnsi="Nunito Sans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Final briefing on Practical Assessment 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Review of the week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rFonts w:ascii="Nunito Sans" w:cs="Nunito Sans" w:eastAsia="Nunito Sans" w:hAnsi="Nunito Sans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Directed private study setting</w:t>
            </w:r>
          </w:p>
        </w:tc>
      </w:tr>
    </w:tbl>
    <w:p w:rsidR="00000000" w:rsidDel="00000000" w:rsidP="00000000" w:rsidRDefault="00000000" w:rsidRPr="00000000" w14:paraId="0000004B">
      <w:pPr>
        <w:rPr>
          <w:sz w:val="20"/>
          <w:szCs w:val="20"/>
        </w:rPr>
      </w:pPr>
      <w:bookmarkStart w:colFirst="0" w:colLast="0" w:name="_heading=h.arehjm4uo2bp" w:id="1"/>
      <w:bookmarkEnd w:id="1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6" w:w="16838" w:orient="landscape"/>
      <w:pgMar w:bottom="1191" w:top="1191" w:left="1440" w:right="1440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Nuni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Nunito Sans" w:cs="Nunito Sans" w:eastAsia="Nunito Sans" w:hAnsi="Nunito Sans"/>
        <w:color w:val="000000"/>
        <w:sz w:val="18"/>
        <w:szCs w:val="18"/>
      </w:rPr>
    </w:pPr>
    <w:r w:rsidDel="00000000" w:rsidR="00000000" w:rsidRPr="00000000">
      <w:rPr>
        <w:rFonts w:ascii="Nunito Sans" w:cs="Nunito Sans" w:eastAsia="Nunito Sans" w:hAnsi="Nunito Sans"/>
        <w:color w:val="000000"/>
        <w:sz w:val="18"/>
        <w:szCs w:val="18"/>
        <w:rtl w:val="0"/>
      </w:rPr>
      <w:t xml:space="preserve">© RRC International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2"/>
      <w:tblW w:w="14174.0" w:type="dxa"/>
      <w:jc w:val="left"/>
      <w:tblLayout w:type="fixed"/>
      <w:tblLook w:val="0000"/>
    </w:tblPr>
    <w:tblGrid>
      <w:gridCol w:w="12439"/>
      <w:gridCol w:w="1735"/>
      <w:tblGridChange w:id="0">
        <w:tblGrid>
          <w:gridCol w:w="12439"/>
          <w:gridCol w:w="1735"/>
        </w:tblGrid>
      </w:tblGridChange>
    </w:tblGrid>
    <w:tr>
      <w:trPr>
        <w:cantSplit w:val="0"/>
        <w:trHeight w:val="1140.6249999999998" w:hRule="atLeast"/>
        <w:tblHeader w:val="0"/>
      </w:trPr>
      <w:tc>
        <w:tcPr/>
        <w:p w:rsidR="00000000" w:rsidDel="00000000" w:rsidP="00000000" w:rsidRDefault="00000000" w:rsidRPr="00000000" w14:paraId="0000004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14175"/>
            </w:tabs>
            <w:ind w:right="-74"/>
            <w:rPr>
              <w:rFonts w:ascii="Nunito Sans" w:cs="Nunito Sans" w:eastAsia="Nunito Sans" w:hAnsi="Nunito Sans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Nunito Sans" w:cs="Nunito Sans" w:eastAsia="Nunito Sans" w:hAnsi="Nunito Sans"/>
              <w:b w:val="1"/>
              <w:bCs w:val="1"/>
              <w:color w:val="000000"/>
              <w:sz w:val="28"/>
              <w:szCs w:val="28"/>
              <w:rtl w:val="0"/>
            </w:rPr>
            <w:t xml:space="preserve">NEBOSH </w:t>
          </w:r>
          <w:r w:rsidDel="00000000" w:rsidR="00000000" w:rsidRPr="00000000">
            <w:rPr>
              <w:rFonts w:ascii="Nunito Sans" w:cs="Nunito Sans" w:eastAsia="Nunito Sans" w:hAnsi="Nunito Sans"/>
              <w:b w:val="1"/>
              <w:bCs w:val="1"/>
              <w:sz w:val="28"/>
              <w:szCs w:val="28"/>
              <w:rtl w:val="0"/>
            </w:rPr>
            <w:t xml:space="preserve">N</w:t>
          </w:r>
          <w:r w:rsidDel="00000000" w:rsidR="00000000" w:rsidRPr="00000000">
            <w:rPr>
              <w:rFonts w:ascii="Nunito Sans" w:cs="Nunito Sans" w:eastAsia="Nunito Sans" w:hAnsi="Nunito Sans"/>
              <w:b w:val="1"/>
              <w:bCs w:val="1"/>
              <w:color w:val="000000"/>
              <w:sz w:val="28"/>
              <w:szCs w:val="28"/>
              <w:rtl w:val="0"/>
            </w:rPr>
            <w:t xml:space="preserve">ational General Certificate Unit </w:t>
          </w:r>
          <w:r w:rsidDel="00000000" w:rsidR="00000000" w:rsidRPr="00000000">
            <w:rPr>
              <w:rFonts w:ascii="Nunito Sans" w:cs="Nunito Sans" w:eastAsia="Nunito Sans" w:hAnsi="Nunito Sans"/>
              <w:b w:val="1"/>
              <w:bCs w:val="1"/>
              <w:sz w:val="28"/>
              <w:szCs w:val="28"/>
              <w:rtl w:val="0"/>
            </w:rPr>
            <w:t xml:space="preserve">GNC2</w:t>
          </w:r>
          <w:r w:rsidDel="00000000" w:rsidR="00000000" w:rsidRPr="00000000">
            <w:rPr>
              <w:rFonts w:ascii="Nunito Sans" w:cs="Nunito Sans" w:eastAsia="Nunito Sans" w:hAnsi="Nunito Sans"/>
              <w:b w:val="1"/>
              <w:bCs w:val="1"/>
              <w:color w:val="000000"/>
              <w:sz w:val="28"/>
              <w:szCs w:val="28"/>
              <w:rtl w:val="0"/>
            </w:rPr>
            <w:t xml:space="preserve"> – Week </w:t>
          </w:r>
          <w:r w:rsidDel="00000000" w:rsidR="00000000" w:rsidRPr="00000000">
            <w:rPr>
              <w:rFonts w:ascii="Nunito Sans" w:cs="Nunito Sans" w:eastAsia="Nunito Sans" w:hAnsi="Nunito Sans"/>
              <w:b w:val="1"/>
              <w:bCs w:val="1"/>
              <w:sz w:val="28"/>
              <w:szCs w:val="28"/>
              <w:rtl w:val="0"/>
            </w:rPr>
            <w:t xml:space="preserve">2</w:t>
          </w:r>
          <w:r w:rsidDel="00000000" w:rsidR="00000000" w:rsidRPr="00000000">
            <w:rPr>
              <w:rFonts w:ascii="Nunito Sans" w:cs="Nunito Sans" w:eastAsia="Nunito Sans" w:hAnsi="Nunito Sans"/>
              <w:b w:val="1"/>
              <w:bCs w:val="1"/>
              <w:color w:val="000000"/>
              <w:sz w:val="28"/>
              <w:szCs w:val="28"/>
              <w:rtl w:val="0"/>
            </w:rPr>
            <w:t xml:space="preserve">: </w:t>
          </w:r>
          <w:r w:rsidDel="00000000" w:rsidR="00000000" w:rsidRPr="00000000">
            <w:rPr>
              <w:rFonts w:ascii="Nunito Sans" w:cs="Nunito Sans" w:eastAsia="Nunito Sans" w:hAnsi="Nunito Sans"/>
              <w:b w:val="1"/>
              <w:bCs w:val="1"/>
              <w:sz w:val="28"/>
              <w:szCs w:val="28"/>
              <w:rtl w:val="0"/>
            </w:rPr>
            <w:t xml:space="preserve">E5–11</w:t>
          </w:r>
          <w:r w:rsidDel="00000000" w:rsidR="00000000" w:rsidRPr="00000000">
            <w:rPr>
              <w:rFonts w:ascii="Nunito Sans" w:cs="Nunito Sans" w:eastAsia="Nunito Sans" w:hAnsi="Nunito Sans"/>
              <w:b w:val="1"/>
              <w:bCs w:val="1"/>
              <w:color w:val="000000"/>
              <w:sz w:val="28"/>
              <w:szCs w:val="28"/>
              <w:rtl w:val="0"/>
            </w:rPr>
            <w:t xml:space="preserve"> Helicopter Plan 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14175"/>
            </w:tabs>
            <w:ind w:right="-74"/>
            <w:rPr>
              <w:rFonts w:ascii="Calibri" w:cs="Calibri" w:eastAsia="Calibri" w:hAnsi="Calibri"/>
              <w:color w:val="000000"/>
              <w:sz w:val="32"/>
              <w:szCs w:val="32"/>
            </w:rPr>
          </w:pPr>
          <w:bookmarkStart w:colFirst="0" w:colLast="0" w:name="_heading=h.8eboo62o18p9" w:id="2"/>
          <w:bookmarkEnd w:id="2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-68577</wp:posOffset>
                </wp:positionH>
                <wp:positionV relativeFrom="paragraph">
                  <wp:posOffset>0</wp:posOffset>
                </wp:positionV>
                <wp:extent cx="1061720" cy="458470"/>
                <wp:effectExtent b="0" l="0" r="0" t="0"/>
                <wp:wrapSquare wrapText="bothSides" distB="0" distT="0" distL="114300" distR="114300"/>
                <wp:docPr id="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1720" cy="458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636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○"/>
      <w:lvlJc w:val="left"/>
      <w:pPr>
        <w:ind w:left="1708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■"/>
      <w:lvlJc w:val="left"/>
      <w:pPr>
        <w:ind w:left="2428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148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○"/>
      <w:lvlJc w:val="left"/>
      <w:pPr>
        <w:ind w:left="3868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■"/>
      <w:lvlJc w:val="left"/>
      <w:pPr>
        <w:ind w:left="4588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08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○"/>
      <w:lvlJc w:val="left"/>
      <w:pPr>
        <w:ind w:left="6028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■"/>
      <w:lvlJc w:val="left"/>
      <w:pPr>
        <w:ind w:left="6748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NunitoSans-regular.ttf"/><Relationship Id="rId4" Type="http://schemas.openxmlformats.org/officeDocument/2006/relationships/font" Target="fonts/NunitoSans-bold.ttf"/><Relationship Id="rId5" Type="http://schemas.openxmlformats.org/officeDocument/2006/relationships/font" Target="fonts/NunitoSans-italic.ttf"/><Relationship Id="rId6" Type="http://schemas.openxmlformats.org/officeDocument/2006/relationships/font" Target="fonts/Nuni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OpqXb9t+0rW6UrN0Y9TMExH5gQ==">CgMxLjAyDmguZ2Jjd29odnpsa3h5Mg5oLmFyZWhqbTR1bzJicDIOaC44ZWJvbzYybzE4cDk4AHIhMTdIQ0ZnTmJuLTN6X0VKMHZ3ck5QUTlrT0diTnE0ZVpf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